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AE75A" w14:textId="20B65246" w:rsidR="003E659B" w:rsidRDefault="00811C24">
      <w:pPr>
        <w:rPr>
          <w:b/>
          <w:bCs/>
        </w:rPr>
      </w:pPr>
      <w:r>
        <w:rPr>
          <w:b/>
          <w:bCs/>
        </w:rPr>
        <w:t xml:space="preserve">Boletín Sinergia Contable (11 de junio de 2026) – Contaduría General de la Nación. </w:t>
      </w:r>
    </w:p>
    <w:p w14:paraId="5D9A0EDD" w14:textId="6E8F48CB" w:rsidR="00811C24" w:rsidRDefault="00F6043D" w:rsidP="00F6043D">
      <w:pPr>
        <w:pStyle w:val="Prrafodelista"/>
        <w:numPr>
          <w:ilvl w:val="0"/>
          <w:numId w:val="2"/>
        </w:numPr>
        <w:rPr>
          <w:b/>
          <w:bCs/>
        </w:rPr>
      </w:pPr>
      <w:r w:rsidRPr="00F6043D">
        <w:rPr>
          <w:b/>
          <w:bCs/>
        </w:rPr>
        <w:t>Socialización principales cambios en el Régimen de la Contabilidad Publica</w:t>
      </w:r>
    </w:p>
    <w:p w14:paraId="0F9CAD69" w14:textId="77777777" w:rsidR="00F6043D" w:rsidRDefault="00F6043D" w:rsidP="00F6043D">
      <w:pPr>
        <w:pStyle w:val="Prrafodelista"/>
        <w:rPr>
          <w:b/>
          <w:bCs/>
        </w:rPr>
      </w:pPr>
    </w:p>
    <w:p w14:paraId="2C653C4F" w14:textId="6094E9EA" w:rsidR="00F6043D" w:rsidRDefault="00F6043D" w:rsidP="00F6043D">
      <w:pPr>
        <w:pStyle w:val="Prrafodelista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Generalidades </w:t>
      </w:r>
    </w:p>
    <w:p w14:paraId="4FBD42CA" w14:textId="77777777" w:rsidR="00F6043D" w:rsidRDefault="00F6043D" w:rsidP="00F6043D">
      <w:pPr>
        <w:pStyle w:val="Prrafodelista"/>
        <w:ind w:left="1080"/>
        <w:rPr>
          <w:b/>
          <w:bCs/>
        </w:rPr>
      </w:pPr>
    </w:p>
    <w:p w14:paraId="74926708" w14:textId="21DCEB6A" w:rsidR="00F6043D" w:rsidRDefault="00F6043D" w:rsidP="00F6043D">
      <w:pPr>
        <w:pStyle w:val="Prrafodelista"/>
        <w:ind w:left="108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990A8A8" wp14:editId="2E70D98F">
            <wp:simplePos x="0" y="0"/>
            <wp:positionH relativeFrom="column">
              <wp:posOffset>-531495</wp:posOffset>
            </wp:positionH>
            <wp:positionV relativeFrom="paragraph">
              <wp:posOffset>219710</wp:posOffset>
            </wp:positionV>
            <wp:extent cx="6720840" cy="3750310"/>
            <wp:effectExtent l="0" t="0" r="3810" b="2540"/>
            <wp:wrapTight wrapText="bothSides">
              <wp:wrapPolygon edited="0">
                <wp:start x="0" y="0"/>
                <wp:lineTo x="0" y="21505"/>
                <wp:lineTo x="21551" y="21505"/>
                <wp:lineTo x="21551" y="0"/>
                <wp:lineTo x="0" y="0"/>
              </wp:wrapPolygon>
            </wp:wrapTight>
            <wp:docPr id="19923289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37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Referente Teórico y metodológico de la Regulación Publica. </w:t>
      </w:r>
    </w:p>
    <w:p w14:paraId="73504F54" w14:textId="7DC8F7F2" w:rsidR="00F6043D" w:rsidRPr="00F6043D" w:rsidRDefault="00F6043D" w:rsidP="00F6043D">
      <w:pPr>
        <w:pStyle w:val="Prrafodelista"/>
        <w:ind w:left="1080"/>
      </w:pPr>
    </w:p>
    <w:p w14:paraId="7D4E5202" w14:textId="77777777" w:rsidR="00F6043D" w:rsidRDefault="00F6043D" w:rsidP="00F6043D">
      <w:pPr>
        <w:pStyle w:val="Prrafodelista"/>
        <w:ind w:left="1080"/>
        <w:rPr>
          <w:b/>
          <w:bCs/>
        </w:rPr>
      </w:pPr>
    </w:p>
    <w:p w14:paraId="484A7D2E" w14:textId="77777777" w:rsidR="00F6043D" w:rsidRDefault="00F6043D" w:rsidP="00F6043D">
      <w:pPr>
        <w:pStyle w:val="Prrafodelista"/>
        <w:ind w:left="1080"/>
        <w:rPr>
          <w:b/>
          <w:bCs/>
        </w:rPr>
      </w:pPr>
    </w:p>
    <w:p w14:paraId="63D9B74C" w14:textId="77777777" w:rsidR="00F6043D" w:rsidRDefault="00F6043D" w:rsidP="00F6043D">
      <w:pPr>
        <w:pStyle w:val="Prrafodelista"/>
        <w:ind w:left="1080"/>
        <w:rPr>
          <w:b/>
          <w:bCs/>
        </w:rPr>
      </w:pPr>
    </w:p>
    <w:p w14:paraId="39F70391" w14:textId="77777777" w:rsidR="00F6043D" w:rsidRDefault="00F6043D" w:rsidP="00F6043D">
      <w:pPr>
        <w:pStyle w:val="Prrafodelista"/>
        <w:ind w:left="1080"/>
        <w:rPr>
          <w:b/>
          <w:bCs/>
        </w:rPr>
      </w:pPr>
    </w:p>
    <w:p w14:paraId="391DF182" w14:textId="39117437" w:rsidR="00F6043D" w:rsidRPr="00F6043D" w:rsidRDefault="00F6043D" w:rsidP="00F6043D">
      <w:pPr>
        <w:pStyle w:val="Prrafodelista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Principales cambios al Marco Conceptual para la preparación y presentación de información </w:t>
      </w:r>
      <w:proofErr w:type="gramStart"/>
      <w:r>
        <w:rPr>
          <w:b/>
          <w:bCs/>
        </w:rPr>
        <w:t>Financiera  de</w:t>
      </w:r>
      <w:proofErr w:type="gramEnd"/>
      <w:r>
        <w:rPr>
          <w:b/>
          <w:bCs/>
        </w:rPr>
        <w:t xml:space="preserve"> las Entidades (---)</w:t>
      </w:r>
    </w:p>
    <w:p w14:paraId="7E5BD54C" w14:textId="77777777" w:rsidR="00811C24" w:rsidRPr="00811C24" w:rsidRDefault="00811C24">
      <w:pPr>
        <w:rPr>
          <w:b/>
          <w:bCs/>
        </w:rPr>
      </w:pPr>
    </w:p>
    <w:sectPr w:rsidR="00811C24" w:rsidRPr="00811C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1518C"/>
    <w:multiLevelType w:val="hybridMultilevel"/>
    <w:tmpl w:val="458C7C0C"/>
    <w:lvl w:ilvl="0" w:tplc="09CC2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C2107B"/>
    <w:multiLevelType w:val="hybridMultilevel"/>
    <w:tmpl w:val="F7283B7E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56B60"/>
    <w:multiLevelType w:val="hybridMultilevel"/>
    <w:tmpl w:val="0BCE2F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521785">
    <w:abstractNumId w:val="2"/>
  </w:num>
  <w:num w:numId="2" w16cid:durableId="1353610996">
    <w:abstractNumId w:val="1"/>
  </w:num>
  <w:num w:numId="3" w16cid:durableId="305280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C24"/>
    <w:rsid w:val="00360FC6"/>
    <w:rsid w:val="003E659B"/>
    <w:rsid w:val="00546148"/>
    <w:rsid w:val="00811C24"/>
    <w:rsid w:val="00B8171E"/>
    <w:rsid w:val="00C0671C"/>
    <w:rsid w:val="00DD5F8C"/>
    <w:rsid w:val="00F6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B99EA"/>
  <w15:chartTrackingRefBased/>
  <w15:docId w15:val="{A3C76880-B51B-48B9-B943-C523B927B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1C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1C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1C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1C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1C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1C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1C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1C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1C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1C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1C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1C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1C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1C2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1C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1C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1C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1C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1C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1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1C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1C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1C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1C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1C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1C2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1C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1C2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1C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56f6f6-a4cb-4619-9869-18b0906e0981" xsi:nil="true"/>
    <Contenido xmlns="57c73dd0-5b45-4428-a631-9168dd112c2f" xsi:nil="true"/>
    <lcf76f155ced4ddcb4097134ff3c332f xmlns="57c73dd0-5b45-4428-a631-9168dd112c2f">
      <Terms xmlns="http://schemas.microsoft.com/office/infopath/2007/PartnerControls"/>
    </lcf76f155ced4ddcb4097134ff3c332f>
    <Valor xmlns="57c73dd0-5b45-4428-a631-9168dd112c2f">1</Valor>
  </documentManagement>
</p:properties>
</file>

<file path=customXml/itemProps1.xml><?xml version="1.0" encoding="utf-8"?>
<ds:datastoreItem xmlns:ds="http://schemas.openxmlformats.org/officeDocument/2006/customXml" ds:itemID="{C0233CDA-A3FD-40B1-966B-EEB2975F19BD}"/>
</file>

<file path=customXml/itemProps2.xml><?xml version="1.0" encoding="utf-8"?>
<ds:datastoreItem xmlns:ds="http://schemas.openxmlformats.org/officeDocument/2006/customXml" ds:itemID="{F0636481-3DD8-47D2-9776-7DCC2AC2D8BE}"/>
</file>

<file path=customXml/itemProps3.xml><?xml version="1.0" encoding="utf-8"?>
<ds:datastoreItem xmlns:ds="http://schemas.openxmlformats.org/officeDocument/2006/customXml" ds:itemID="{9768B981-18ED-4C3F-8A8B-2C04675750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Garzón Ochoa</dc:creator>
  <cp:keywords/>
  <dc:description/>
  <cp:lastModifiedBy>Diana Carolina Garzón Ochoa</cp:lastModifiedBy>
  <cp:revision>1</cp:revision>
  <dcterms:created xsi:type="dcterms:W3CDTF">2026-06-11T13:51:00Z</dcterms:created>
  <dcterms:modified xsi:type="dcterms:W3CDTF">2026-06-11T18:52:00Z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</Properties>
</file>